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jpg" ContentType="image/jpg"/>
  <Default Extension="emf" ContentType="image/emf"/>
  <Default Extension="wmf" ContentType="image/wmf"/>
  <Default Extension="ico" ContentType="image/ico"/>
  <Default Extension="cur" ContentType="image/cur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spacing w:after="0" w:line="240" w:lineRule="auto"/>
      </w:pPr>
      <w:r>
        <w:rPr>
          <w:rFonts w:ascii="Verdana" w:hAnsi="Verdana" w:cs="Verdana"/>
          <w:sz w:val="18"/>
        </w:rPr>
        <w:t xml:space="preserve"> </w:t>
      </w:r>
    </w:p>
    <w:p>
      <w:pPr>
        <w:spacing w:after="0" w:line="240" w:lineRule="auto"/>
        <w:numPr>
          <w:ilvl w:val="0"/>
          <w:numId w:val="1"/>
        </w:numPr>
        <w:rPr>
          <w:b/>
          <w:rFonts w:ascii="Verdana" w:hAnsi="Verdana" w:cs="Verdana"/>
          <w:sz w:val="18"/>
        </w:rPr>
        <w:keepNext/>
      </w:pPr>
      <w:r>
        <w:tab/>
      </w:r>
      <w:r>
        <w:rPr>
          <w:b/>
          <w:rFonts w:ascii="Verdana" w:hAnsi="Verdana" w:cs="Verdana"/>
          <w:sz w:val="18"/>
        </w:rPr>
        <w:t xml:space="preserve">Nombres de las hipótesis</w:t>
      </w:r>
    </w:p>
    <w:tbl>
      <w:tblPr>
        <w:tblW w:w="0" w:type="auto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r>
        <w:trPr>
          <w:cantSplit/>
        </w:trPr>
        <w:tc>
          <w:tcPr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PP</w:t>
            </w:r>
          </w:p>
        </w:tc>
        <w:tc>
          <w:tcPr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Peso propio</w:t>
            </w:r>
          </w:p>
        </w:tc>
      </w:tr>
      <w:tr>
        <w:trPr>
          <w:cantSplit/>
        </w:trPr>
        <w:tc>
          <w:tcPr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CM</w:t>
            </w:r>
          </w:p>
        </w:tc>
        <w:tc>
          <w:tcPr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Cargas permanentes</w:t>
            </w:r>
          </w:p>
        </w:tc>
      </w:tr>
      <w:tr>
        <w:trPr>
          <w:cantSplit/>
        </w:trPr>
        <w:tc>
          <w:tcPr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Qa</w:t>
            </w:r>
          </w:p>
        </w:tc>
        <w:tc>
          <w:tcPr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Sobrecarga de uso</w:t>
            </w:r>
          </w:p>
        </w:tc>
      </w:tr>
      <w:tr>
        <w:trPr>
          <w:cantSplit/>
        </w:trPr>
        <w:tc>
          <w:tcPr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SX</w:t>
            </w:r>
          </w:p>
        </w:tc>
        <w:tc>
          <w:tcPr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Sismo X</w:t>
            </w:r>
          </w:p>
        </w:tc>
      </w:tr>
      <w:tr>
        <w:trPr>
          <w:cantSplit/>
        </w:trPr>
        <w:tc>
          <w:tcPr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SY</w:t>
            </w:r>
          </w:p>
        </w:tc>
        <w:tc>
          <w:tcPr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Sismo Y</w:t>
            </w:r>
          </w:p>
        </w:tc>
      </w:tr>
    </w:tbl>
    <w:p>
      <w:pPr>
        <w:spacing w:after="0" w:line="2" w:lineRule="auto"/>
      </w:pPr>
    </w:p>
    <w:p>
      <w:pPr>
        <w:spacing w:after="0" w:line="240" w:lineRule="auto"/>
      </w:pPr>
      <w:r>
        <w:rPr>
          <w:rFonts w:ascii="Verdana" w:hAnsi="Verdana" w:cs="Verdana"/>
          <w:sz w:val="18"/>
        </w:rPr>
        <w:t xml:space="preserve"> </w:t>
      </w:r>
    </w:p>
    <w:p>
      <w:pPr>
        <w:spacing w:after="0" w:line="240" w:lineRule="auto"/>
        <w:numPr>
          <w:ilvl w:val="0"/>
          <w:numId w:val="2"/>
        </w:numPr>
        <w:rPr>
          <w:b/>
          <w:rFonts w:ascii="Verdana" w:hAnsi="Verdana" w:cs="Verdana"/>
          <w:sz w:val="18"/>
        </w:rPr>
        <w:keepNext/>
      </w:pPr>
      <w:r>
        <w:tab/>
      </w:r>
      <w:r>
        <w:rPr>
          <w:b/>
          <w:rFonts w:ascii="Verdana" w:hAnsi="Verdana" w:cs="Verdana"/>
          <w:sz w:val="18"/>
        </w:rPr>
        <w:t xml:space="preserve">Categoría de uso</w:t>
      </w:r>
    </w:p>
    <w:p>
      <w:pPr>
        <w:spacing w:after="0" w:line="240" w:lineRule="auto"/>
        <w:ind w:left="567"/>
        <w:rPr>
          <w:rFonts w:ascii="Verdana" w:hAnsi="Verdana" w:cs="Verdana"/>
          <w:sz w:val="18"/>
        </w:rPr>
      </w:pPr>
      <w:r>
        <w:rPr>
          <w:rFonts w:ascii="Verdana" w:hAnsi="Verdana" w:cs="Verdana"/>
          <w:sz w:val="18"/>
        </w:rPr>
        <w:t xml:space="preserve">1. General</w:t>
      </w:r>
    </w:p>
    <w:p>
      <w:pPr>
        <w:spacing w:after="0" w:line="240" w:lineRule="auto"/>
      </w:pPr>
      <w:r>
        <w:rPr>
          <w:rFonts w:ascii="Verdana" w:hAnsi="Verdana" w:cs="Verdana"/>
          <w:sz w:val="18"/>
        </w:rPr>
        <w:t xml:space="preserve"> </w:t>
      </w:r>
    </w:p>
    <w:p>
      <w:pPr>
        <w:spacing w:after="0" w:line="240" w:lineRule="auto"/>
        <w:numPr>
          <w:ilvl w:val="0"/>
          <w:numId w:val="3"/>
        </w:numPr>
        <w:rPr>
          <w:b/>
          <w:rFonts w:ascii="Verdana" w:hAnsi="Verdana" w:cs="Verdana"/>
          <w:sz w:val="18"/>
        </w:rPr>
        <w:keepNext/>
      </w:pPr>
      <w:r>
        <w:tab/>
      </w:r>
      <w:r>
        <w:rPr>
          <w:b/>
          <w:rFonts w:ascii="Verdana" w:hAnsi="Verdana" w:cs="Verdana"/>
          <w:sz w:val="18"/>
        </w:rPr>
        <w:t xml:space="preserve">E.L.U. de rotura. Hormigón</w:t>
      </w:r>
    </w:p>
    <w:p>
      <w:pPr>
        <w:spacing w:after="0" w:line="240" w:lineRule="auto"/>
        <w:ind w:left="567"/>
        <w:rPr>
          <w:rFonts w:ascii="Verdana" w:hAnsi="Verdana" w:cs="Verdana"/>
          <w:sz w:val="18"/>
        </w:rPr>
        <w:keepNext/>
      </w:pPr>
      <w:r>
        <w:rPr>
          <w:rFonts w:ascii="Verdana" w:hAnsi="Verdana" w:cs="Verdana"/>
          <w:sz w:val="18"/>
        </w:rPr>
        <w:t xml:space="preserve">ACI 318M-08</w:t>
      </w:r>
    </w:p>
    <w:p>
      <w:pPr>
        <w:spacing w:after="0" w:line="240" w:lineRule="auto"/>
        <w:ind w:left="567"/>
        <w:rPr>
          <w:rFonts w:ascii="Verdana" w:hAnsi="Verdana" w:cs="Verdana"/>
          <w:sz w:val="18"/>
        </w:rPr>
      </w:pPr>
      <w:r>
        <w:rPr>
          <w:rFonts w:ascii="Verdana" w:hAnsi="Verdana" w:cs="Verdana"/>
          <w:sz w:val="18"/>
        </w:rPr>
        <w:t xml:space="preserve">ASCE 7</w:t>
      </w:r>
    </w:p>
    <w:p>
      <w:pPr>
        <w:spacing w:after="0" w:line="240" w:lineRule="auto"/>
        <w:numPr>
          <w:ilvl w:val="0"/>
          <w:numId w:val="3"/>
        </w:numPr>
        <w:rPr>
          <w:b/>
          <w:rFonts w:ascii="Verdana" w:hAnsi="Verdana" w:cs="Verdana"/>
          <w:sz w:val="18"/>
        </w:rPr>
        <w:keepNext/>
      </w:pPr>
      <w:r>
        <w:tab/>
      </w:r>
      <w:r>
        <w:rPr>
          <w:b/>
          <w:rFonts w:ascii="Verdana" w:hAnsi="Verdana" w:cs="Verdana"/>
          <w:sz w:val="18"/>
        </w:rPr>
        <w:t xml:space="preserve">E.L.U. de rotura. Hormigón en cimentaciones</w:t>
      </w:r>
    </w:p>
    <w:p>
      <w:pPr>
        <w:spacing w:after="0" w:line="240" w:lineRule="auto"/>
        <w:ind w:left="567"/>
        <w:rPr>
          <w:rFonts w:ascii="Verdana" w:hAnsi="Verdana" w:cs="Verdana"/>
          <w:sz w:val="18"/>
        </w:rPr>
        <w:keepNext/>
      </w:pPr>
      <w:r>
        <w:rPr>
          <w:rFonts w:ascii="Verdana" w:hAnsi="Verdana" w:cs="Verdana"/>
          <w:sz w:val="18"/>
        </w:rPr>
        <w:t xml:space="preserve">ACI 318M-08</w:t>
      </w:r>
    </w:p>
    <w:p>
      <w:pPr>
        <w:spacing w:after="0" w:line="240" w:lineRule="auto"/>
        <w:ind w:left="567"/>
        <w:rPr>
          <w:rFonts w:ascii="Verdana" w:hAnsi="Verdana" w:cs="Verdana"/>
          <w:sz w:val="18"/>
        </w:rPr>
      </w:pPr>
      <w:r>
        <w:rPr>
          <w:rFonts w:ascii="Verdana" w:hAnsi="Verdana" w:cs="Verdana"/>
          <w:sz w:val="18"/>
        </w:rPr>
        <w:t xml:space="preserve">ASCE 7</w:t>
      </w:r>
    </w:p>
    <w:p>
      <w:pPr>
        <w:spacing w:after="0" w:line="240" w:lineRule="auto"/>
        <w:numPr>
          <w:ilvl w:val="0"/>
          <w:numId w:val="3"/>
        </w:numPr>
        <w:rPr>
          <w:b/>
          <w:rFonts w:ascii="Verdana" w:hAnsi="Verdana" w:cs="Verdana"/>
          <w:sz w:val="18"/>
        </w:rPr>
        <w:keepNext/>
      </w:pPr>
      <w:r>
        <w:tab/>
      </w:r>
      <w:r>
        <w:rPr>
          <w:b/>
          <w:rFonts w:ascii="Verdana" w:hAnsi="Verdana" w:cs="Verdana"/>
          <w:sz w:val="18"/>
        </w:rPr>
        <w:t xml:space="preserve">E.L.U. de rotura. Pilares mixtos de hormigón y acero</w:t>
      </w:r>
    </w:p>
    <w:p>
      <w:pPr>
        <w:spacing w:after="0" w:line="240" w:lineRule="auto"/>
        <w:ind w:left="567"/>
        <w:rPr>
          <w:rFonts w:ascii="Verdana" w:hAnsi="Verdana" w:cs="Verdana"/>
          <w:sz w:val="18"/>
        </w:rPr>
        <w:keepNext/>
      </w:pPr>
      <w:r>
        <w:rPr>
          <w:rFonts w:ascii="Verdana" w:hAnsi="Verdana" w:cs="Verdana"/>
          <w:sz w:val="18"/>
        </w:rPr>
        <w:t xml:space="preserve">ACI 318M-08</w:t>
      </w:r>
    </w:p>
    <w:p>
      <w:pPr>
        <w:spacing w:after="0" w:line="240" w:lineRule="auto"/>
        <w:ind w:left="567"/>
        <w:rPr>
          <w:rFonts w:ascii="Verdana" w:hAnsi="Verdana" w:cs="Verdana"/>
          <w:sz w:val="18"/>
        </w:rPr>
      </w:pPr>
      <w:r>
        <w:rPr>
          <w:rFonts w:ascii="Verdana" w:hAnsi="Verdana" w:cs="Verdana"/>
          <w:sz w:val="18"/>
        </w:rPr>
        <w:t xml:space="preserve">ASCE 7</w:t>
      </w:r>
    </w:p>
    <w:p>
      <w:pPr>
        <w:spacing w:after="0" w:line="240" w:lineRule="auto"/>
        <w:numPr>
          <w:ilvl w:val="0"/>
          <w:numId w:val="3"/>
        </w:numPr>
        <w:rPr>
          <w:b/>
          <w:rFonts w:ascii="Verdana" w:hAnsi="Verdana" w:cs="Verdana"/>
          <w:sz w:val="18"/>
        </w:rPr>
        <w:keepNext/>
      </w:pPr>
      <w:r>
        <w:tab/>
      </w:r>
      <w:r>
        <w:rPr>
          <w:b/>
          <w:rFonts w:ascii="Verdana" w:hAnsi="Verdana" w:cs="Verdana"/>
          <w:sz w:val="18"/>
        </w:rPr>
        <w:t xml:space="preserve">E.L.U. de rotura. Acero conformado</w:t>
      </w:r>
    </w:p>
    <w:p>
      <w:pPr>
        <w:spacing w:after="0" w:line="240" w:lineRule="auto"/>
        <w:ind w:left="567"/>
        <w:rPr>
          <w:rFonts w:ascii="Verdana" w:hAnsi="Verdana" w:cs="Verdana"/>
          <w:sz w:val="18"/>
        </w:rPr>
        <w:keepNext/>
      </w:pPr>
      <w:r>
        <w:rPr>
          <w:rFonts w:ascii="Verdana" w:hAnsi="Verdana" w:cs="Verdana"/>
          <w:sz w:val="18"/>
        </w:rPr>
        <w:t xml:space="preserve">AISI/NASPEC-2007 (LRFD)</w:t>
      </w:r>
    </w:p>
    <w:p>
      <w:pPr>
        <w:spacing w:after="0" w:line="240" w:lineRule="auto"/>
        <w:ind w:left="567"/>
        <w:rPr>
          <w:rFonts w:ascii="Verdana" w:hAnsi="Verdana" w:cs="Verdana"/>
          <w:sz w:val="18"/>
        </w:rPr>
      </w:pPr>
      <w:r>
        <w:rPr>
          <w:rFonts w:ascii="Verdana" w:hAnsi="Verdana" w:cs="Verdana"/>
          <w:sz w:val="18"/>
        </w:rPr>
        <w:t xml:space="preserve">ASCE 7</w:t>
      </w:r>
    </w:p>
    <w:p>
      <w:pPr>
        <w:spacing w:after="0" w:line="240" w:lineRule="auto"/>
        <w:numPr>
          <w:ilvl w:val="0"/>
          <w:numId w:val="3"/>
        </w:numPr>
        <w:rPr>
          <w:b/>
          <w:rFonts w:ascii="Verdana" w:hAnsi="Verdana" w:cs="Verdana"/>
          <w:sz w:val="18"/>
        </w:rPr>
        <w:keepNext/>
      </w:pPr>
      <w:r>
        <w:tab/>
      </w:r>
      <w:r>
        <w:rPr>
          <w:b/>
          <w:rFonts w:ascii="Verdana" w:hAnsi="Verdana" w:cs="Verdana"/>
          <w:sz w:val="18"/>
        </w:rPr>
        <w:t xml:space="preserve">E.L.U. de rotura. Acero laminado</w:t>
      </w:r>
    </w:p>
    <w:p>
      <w:pPr>
        <w:spacing w:after="0" w:line="240" w:lineRule="auto"/>
        <w:ind w:left="567"/>
        <w:rPr>
          <w:rFonts w:ascii="Verdana" w:hAnsi="Verdana" w:cs="Verdana"/>
          <w:sz w:val="18"/>
        </w:rPr>
        <w:keepNext/>
      </w:pPr>
      <w:r>
        <w:rPr>
          <w:rFonts w:ascii="Verdana" w:hAnsi="Verdana" w:cs="Verdana"/>
          <w:sz w:val="18"/>
        </w:rPr>
        <w:t xml:space="preserve">AISC 360-05 (LRFD)</w:t>
      </w:r>
    </w:p>
    <w:p>
      <w:pPr>
        <w:spacing w:after="0" w:line="240" w:lineRule="auto"/>
        <w:ind w:left="567"/>
        <w:rPr>
          <w:rFonts w:ascii="Verdana" w:hAnsi="Verdana" w:cs="Verdana"/>
          <w:sz w:val="18"/>
        </w:rPr>
      </w:pPr>
      <w:r>
        <w:rPr>
          <w:rFonts w:ascii="Verdana" w:hAnsi="Verdana" w:cs="Verdana"/>
          <w:sz w:val="18"/>
        </w:rPr>
        <w:t xml:space="preserve">ASCE 7</w:t>
      </w:r>
    </w:p>
    <w:p>
      <w:pPr>
        <w:spacing w:after="0" w:line="240" w:lineRule="auto"/>
      </w:pPr>
      <w:r>
        <w:rPr>
          <w:rFonts w:ascii="Verdana" w:hAnsi="Verdana" w:cs="Verdana"/>
          <w:sz w:val="18"/>
        </w:rP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Comb.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PP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CM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Qa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SX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SY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1.400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1.400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3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1.600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0.500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0.500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0.500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0.500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13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0.500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15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0.500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0.500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0.500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0.900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0.900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0.900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0.900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0.900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0.900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23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0.900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0.900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0.900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0.900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25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0.900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0.900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0.900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0.900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0.900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0.900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0.900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0.900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</w:tr>
    </w:tbl>
    <w:p>
      <w:pPr>
        <w:spacing w:after="0" w:line="2" w:lineRule="auto"/>
      </w:pPr>
    </w:p>
    <w:p>
      <w:pPr>
        <w:spacing w:after="0" w:line="240" w:lineRule="auto"/>
      </w:pPr>
      <w:r>
        <w:rPr>
          <w:rFonts w:ascii="Verdana" w:hAnsi="Verdana" w:cs="Verdana"/>
          <w:sz w:val="18"/>
        </w:rPr>
        <w:t xml:space="preserve"> </w:t>
      </w:r>
    </w:p>
    <w:p>
      <w:pPr>
        <w:spacing w:after="0" w:line="240" w:lineRule="auto"/>
        <w:numPr>
          <w:ilvl w:val="0"/>
          <w:numId w:val="4"/>
        </w:numPr>
        <w:rPr>
          <w:b/>
          <w:rFonts w:ascii="Verdana" w:hAnsi="Verdana" w:cs="Verdana"/>
          <w:sz w:val="18"/>
        </w:rPr>
        <w:keepNext/>
      </w:pPr>
      <w:r>
        <w:tab/>
      </w:r>
      <w:r>
        <w:rPr>
          <w:b/>
          <w:rFonts w:ascii="Verdana" w:hAnsi="Verdana" w:cs="Verdana"/>
          <w:sz w:val="18"/>
        </w:rPr>
        <w:t xml:space="preserve">E.L.S. Fisuración. Hormigón en cimentaciones</w:t>
      </w:r>
    </w:p>
    <w:p>
      <w:pPr>
        <w:spacing w:after="0" w:line="240" w:lineRule="auto"/>
        <w:ind w:left="567"/>
        <w:rPr>
          <w:rFonts w:ascii="Verdana" w:hAnsi="Verdana" w:cs="Verdana"/>
          <w:sz w:val="18"/>
        </w:rPr>
        <w:keepNext/>
      </w:pPr>
      <w:r>
        <w:rPr>
          <w:rFonts w:ascii="Verdana" w:hAnsi="Verdana" w:cs="Verdana"/>
          <w:sz w:val="18"/>
        </w:rPr>
        <w:t xml:space="preserve">ACI 318M-08</w:t>
      </w:r>
    </w:p>
    <w:p>
      <w:pPr>
        <w:spacing w:after="0" w:line="240" w:lineRule="auto"/>
        <w:ind w:left="567"/>
        <w:rPr>
          <w:rFonts w:ascii="Verdana" w:hAnsi="Verdana" w:cs="Verdana"/>
          <w:sz w:val="18"/>
        </w:rPr>
      </w:pPr>
      <w:r>
        <w:rPr>
          <w:rFonts w:ascii="Verdana" w:hAnsi="Verdana" w:cs="Verdana"/>
          <w:sz w:val="18"/>
        </w:rPr>
        <w:t xml:space="preserve">ASCE 7</w:t>
      </w:r>
    </w:p>
    <w:p>
      <w:pPr>
        <w:spacing w:after="0" w:line="240" w:lineRule="auto"/>
        <w:keepNext/>
      </w:pPr>
      <w:r>
        <w:rPr>
          <w:rFonts w:ascii="Verdana" w:hAnsi="Verdana" w:cs="Verdana"/>
          <w:sz w:val="18"/>
        </w:rP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Comb.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PP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CM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Qa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SX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SY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0.500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spacing w:after="0" w:line="240" w:lineRule="auto"/>
      </w:pPr>
      <w:r>
        <w:rPr>
          <w:rFonts w:ascii="Verdana" w:hAnsi="Verdana" w:cs="Verdana"/>
          <w:sz w:val="18"/>
        </w:rPr>
        <w:t xml:space="preserve"> </w:t>
      </w:r>
    </w:p>
    <w:p>
      <w:pPr>
        <w:spacing w:after="0" w:line="240" w:lineRule="auto"/>
        <w:numPr>
          <w:ilvl w:val="0"/>
          <w:numId w:val="5"/>
        </w:numPr>
        <w:rPr>
          <w:b/>
          <w:rFonts w:ascii="Verdana" w:hAnsi="Verdana" w:cs="Verdana"/>
          <w:sz w:val="18"/>
        </w:rPr>
        <w:keepNext/>
      </w:pPr>
      <w:r>
        <w:tab/>
      </w:r>
      <w:r>
        <w:rPr>
          <w:b/>
          <w:rFonts w:ascii="Verdana" w:hAnsi="Verdana" w:cs="Verdana"/>
          <w:sz w:val="18"/>
        </w:rPr>
        <w:t xml:space="preserve">E.L.U. de rotura. Madera</w:t>
      </w:r>
    </w:p>
    <w:p>
      <w:pPr>
        <w:spacing w:after="0" w:line="240" w:lineRule="auto"/>
        <w:ind w:left="567"/>
        <w:rPr>
          <w:rFonts w:ascii="Verdana" w:hAnsi="Verdana" w:cs="Verdana"/>
          <w:sz w:val="18"/>
        </w:rPr>
        <w:keepNext/>
      </w:pPr>
      <w:r>
        <w:rPr>
          <w:rFonts w:ascii="Verdana" w:hAnsi="Verdana" w:cs="Verdana"/>
          <w:sz w:val="18"/>
        </w:rPr>
        <w:t xml:space="preserve">CTE</w:t>
      </w:r>
    </w:p>
    <w:p>
      <w:pPr>
        <w:spacing w:after="0" w:line="240" w:lineRule="auto"/>
        <w:ind w:left="567"/>
        <w:rPr>
          <w:rFonts w:ascii="Verdana" w:hAnsi="Verdana" w:cs="Verdana"/>
          <w:sz w:val="18"/>
        </w:rPr>
      </w:pPr>
      <w:r>
        <w:rPr>
          <w:rFonts w:ascii="Verdana" w:hAnsi="Verdana" w:cs="Verdana"/>
          <w:sz w:val="18"/>
        </w:rPr>
        <w:t xml:space="preserve">Cota de nieve: Altitud inferior o igual a 1000 m</w:t>
      </w:r>
    </w:p>
    <w:p>
      <w:pPr>
        <w:spacing w:after="0" w:line="240" w:lineRule="auto"/>
        <w:keepNext/>
      </w:pPr>
      <w:r>
        <w:rPr>
          <w:rFonts w:ascii="Verdana" w:hAnsi="Verdana" w:cs="Verdana"/>
          <w:sz w:val="18"/>
        </w:rPr>
        <w:t xml:space="preserve"> </w:t>
      </w:r>
    </w:p>
    <w:p>
      <w:pPr>
        <w:spacing w:after="0" w:line="240" w:lineRule="auto"/>
        <w:ind w:left="567"/>
        <w:rPr>
          <w:b/>
          <w:rFonts w:ascii="Verdana" w:hAnsi="Verdana" w:cs="Verdana"/>
          <w:sz w:val="18"/>
        </w:rPr>
        <w:keepLines/>
      </w:pPr>
      <w:r>
        <w:rPr>
          <w:b/>
          <w:rFonts w:ascii="Verdana" w:hAnsi="Verdana" w:cs="Verdana"/>
          <w:sz w:val="18"/>
        </w:rPr>
        <w:t xml:space="preserve">1. Coeficientes para situaciones persistentes o transitorias y sísmicas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Comb.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PP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CM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Qa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SX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SY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0.800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0.800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1.350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1.350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3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0.800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0.800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1.500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1.350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1.350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1.500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13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15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</w:tr>
    </w:tbl>
    <w:p>
      <w:pPr>
        <w:spacing w:after="0" w:line="2" w:lineRule="auto"/>
      </w:pPr>
    </w:p>
    <w:p>
      <w:pPr>
        <w:spacing w:after="0" w:line="240" w:lineRule="auto"/>
        <w:ind w:left="567"/>
        <w:rPr>
          <w:b/>
          <w:rFonts w:ascii="Verdana" w:hAnsi="Verdana" w:cs="Verdana"/>
          <w:sz w:val="18"/>
        </w:rPr>
        <w:keepLines/>
      </w:pPr>
      <w:r>
        <w:rPr>
          <w:b/>
          <w:rFonts w:ascii="Verdana" w:hAnsi="Verdana" w:cs="Verdana"/>
          <w:sz w:val="18"/>
        </w:rPr>
        <w:t xml:space="preserve">2. Coeficientes para situaciones accidentales de incendio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Comb.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PP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CM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Qa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SX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SY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0.500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spacing w:after="0" w:line="240" w:lineRule="auto"/>
      </w:pPr>
      <w:r>
        <w:rPr>
          <w:rFonts w:ascii="Verdana" w:hAnsi="Verdana" w:cs="Verdana"/>
          <w:sz w:val="18"/>
        </w:rPr>
        <w:t xml:space="preserve"> </w:t>
      </w:r>
    </w:p>
    <w:p>
      <w:pPr>
        <w:spacing w:after="0" w:line="240" w:lineRule="auto"/>
        <w:numPr>
          <w:ilvl w:val="0"/>
          <w:numId w:val="6"/>
        </w:numPr>
        <w:rPr>
          <w:b/>
          <w:rFonts w:ascii="Verdana" w:hAnsi="Verdana" w:cs="Verdana"/>
          <w:sz w:val="18"/>
        </w:rPr>
        <w:keepNext/>
      </w:pPr>
      <w:r>
        <w:tab/>
      </w:r>
      <w:r>
        <w:rPr>
          <w:b/>
          <w:rFonts w:ascii="Verdana" w:hAnsi="Verdana" w:cs="Verdana"/>
          <w:sz w:val="18"/>
        </w:rPr>
        <w:t xml:space="preserve">E.L.U. de rotura. Aluminio</w:t>
      </w:r>
    </w:p>
    <w:p>
      <w:pPr>
        <w:spacing w:after="0" w:line="240" w:lineRule="auto"/>
        <w:ind w:left="567"/>
        <w:rPr>
          <w:rFonts w:ascii="Verdana" w:hAnsi="Verdana" w:cs="Verdana"/>
          <w:sz w:val="18"/>
        </w:rPr>
        <w:keepNext/>
      </w:pPr>
      <w:r>
        <w:rPr>
          <w:rFonts w:ascii="Verdana" w:hAnsi="Verdana" w:cs="Verdana"/>
          <w:sz w:val="18"/>
        </w:rPr>
        <w:t xml:space="preserve">EC</w:t>
      </w:r>
    </w:p>
    <w:p>
      <w:pPr>
        <w:spacing w:after="0" w:line="240" w:lineRule="auto"/>
        <w:ind w:left="567"/>
        <w:rPr>
          <w:rFonts w:ascii="Verdana" w:hAnsi="Verdana" w:cs="Verdana"/>
          <w:sz w:val="18"/>
        </w:rPr>
      </w:pPr>
      <w:r>
        <w:rPr>
          <w:rFonts w:ascii="Verdana" w:hAnsi="Verdana" w:cs="Verdana"/>
          <w:sz w:val="18"/>
        </w:rPr>
        <w:t xml:space="preserve">Nieve: Altitud inferior o igual a 1000 m</w:t>
      </w:r>
    </w:p>
    <w:p>
      <w:pPr>
        <w:spacing w:after="0" w:line="240" w:lineRule="auto"/>
        <w:keepNext/>
      </w:pPr>
      <w:r>
        <w:rPr>
          <w:rFonts w:ascii="Verdana" w:hAnsi="Verdana" w:cs="Verdana"/>
          <w:sz w:val="18"/>
        </w:rP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Comb.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PP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CM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Qa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SX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SY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1.350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1.350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3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1.500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1.350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1.350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1.500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13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15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-0.300</w:t>
            </w:r>
          </w:p>
        </w:tc>
      </w:tr>
    </w:tbl>
    <w:p>
      <w:pPr>
        <w:spacing w:after="0" w:line="2" w:lineRule="auto"/>
      </w:pPr>
    </w:p>
    <w:p>
      <w:pPr>
        <w:spacing w:after="0" w:line="240" w:lineRule="auto"/>
      </w:pPr>
      <w:r>
        <w:rPr>
          <w:rFonts w:ascii="Verdana" w:hAnsi="Verdana" w:cs="Verdana"/>
          <w:sz w:val="18"/>
        </w:rPr>
        <w:t xml:space="preserve"> </w:t>
      </w:r>
    </w:p>
    <w:p>
      <w:pPr>
        <w:spacing w:after="0" w:line="240" w:lineRule="auto"/>
        <w:numPr>
          <w:ilvl w:val="0"/>
          <w:numId w:val="7"/>
        </w:numPr>
        <w:rPr>
          <w:b/>
          <w:rFonts w:ascii="Verdana" w:hAnsi="Verdana" w:cs="Verdana"/>
          <w:sz w:val="18"/>
        </w:rPr>
        <w:keepNext/>
      </w:pPr>
      <w:r>
        <w:tab/>
      </w:r>
      <w:r>
        <w:rPr>
          <w:b/>
          <w:rFonts w:ascii="Verdana" w:hAnsi="Verdana" w:cs="Verdana"/>
          <w:sz w:val="18"/>
        </w:rPr>
        <w:t xml:space="preserve">Tensiones sobre el terreno</w:t>
      </w:r>
    </w:p>
    <w:p>
      <w:pPr>
        <w:spacing w:after="0" w:line="240" w:lineRule="auto"/>
        <w:ind w:left="567"/>
        <w:rPr>
          <w:rFonts w:ascii="Verdana" w:hAnsi="Verdana" w:cs="Verdana"/>
          <w:sz w:val="18"/>
        </w:rPr>
      </w:pPr>
      <w:r>
        <w:rPr>
          <w:rFonts w:ascii="Verdana" w:hAnsi="Verdana" w:cs="Verdana"/>
          <w:sz w:val="18"/>
        </w:rPr>
        <w:t xml:space="preserve">Acciones características</w:t>
      </w:r>
    </w:p>
    <w:p>
      <w:pPr>
        <w:spacing w:after="0" w:line="240" w:lineRule="auto"/>
        <w:numPr>
          <w:ilvl w:val="0"/>
          <w:numId w:val="7"/>
        </w:numPr>
        <w:rPr>
          <w:b/>
          <w:rFonts w:ascii="Verdana" w:hAnsi="Verdana" w:cs="Verdana"/>
          <w:sz w:val="18"/>
        </w:rPr>
        <w:keepNext/>
      </w:pPr>
      <w:r>
        <w:tab/>
      </w:r>
      <w:r>
        <w:rPr>
          <w:b/>
          <w:rFonts w:ascii="Verdana" w:hAnsi="Verdana" w:cs="Verdana"/>
          <w:sz w:val="18"/>
        </w:rPr>
        <w:t xml:space="preserve">Desplazamientos</w:t>
      </w:r>
    </w:p>
    <w:p>
      <w:pPr>
        <w:spacing w:after="0" w:line="240" w:lineRule="auto"/>
        <w:ind w:left="567"/>
        <w:rPr>
          <w:rFonts w:ascii="Verdana" w:hAnsi="Verdana" w:cs="Verdana"/>
          <w:sz w:val="18"/>
        </w:rPr>
      </w:pPr>
      <w:r>
        <w:rPr>
          <w:rFonts w:ascii="Verdana" w:hAnsi="Verdana" w:cs="Verdana"/>
          <w:sz w:val="18"/>
        </w:rPr>
        <w:t xml:space="preserve">Acciones características</w:t>
      </w:r>
    </w:p>
    <w:p>
      <w:pPr>
        <w:spacing w:after="0" w:line="240" w:lineRule="auto"/>
        <w:keepNext/>
      </w:pPr>
      <w:r>
        <w:rPr>
          <w:rFonts w:ascii="Verdana" w:hAnsi="Verdana" w:cs="Verdana"/>
          <w:sz w:val="18"/>
        </w:rP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Comb.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PP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CM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Qa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SX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SY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3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-1.000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1.000</w:t>
            </w:r>
          </w:p>
        </w:tc>
      </w:tr>
    </w:tbl>
    <w:p>
      <w:pPr>
        <w:spacing w:after="0" w:line="2" w:lineRule="auto"/>
      </w:pPr>
    </w:p>
    <w:p>
      <w:pPr>
        <w:spacing w:after="0" w:line="240" w:lineRule="auto"/>
      </w:pPr>
      <w:r>
        <w:rPr>
          <w:rFonts w:ascii="Verdana" w:hAnsi="Verdana" w:cs="Verdana"/>
          <w:sz w:val="18"/>
        </w:rPr>
        <w:t xml:space="preserve"> </w:t>
      </w:r>
    </w:p>
    <w:sectPr>
      <w:pgSz w:w="12246" w:h="15817" w:orient="portrait"/>
      <w:pgMar w:top="907" w:left="907" w:bottom="907" w:right="907" w:header="907" w:footer="907" w:gutter="28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1">
    <w:multiLevelType w:val="singlelevel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2">
    <w:multiLevelType w:val="singlelevel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3">
    <w:multiLevelType w:val="singlelevel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4">
    <w:multiLevelType w:val="singlelevel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5">
    <w:multiLevelType w:val="singlelevel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6">
    <w:multiLevelType w:val="singlelevel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venAndOddHeaders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Normal">
    <w:name w:val="Normal"/>
    <w:qFormat/>
    <w:rsid w:val="00174D7E"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